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3864"/>
          <w:sz w:val="30"/>
          <w:szCs w:val="30"/>
        </w:rPr>
        <w:t xml:space="preserve">Future Ready KC Case Competition Rubric</w:t>
      </w:r>
    </w:p>
    <w:p>
      <w:pPr>
        <w:spacing w:after="60"/>
        <w:jc w:val="center"/>
      </w:pPr>
      <w:r>
        <w:rPr>
          <w:i/>
          <w:iCs/>
          <w:sz w:val="20"/>
          <w:szCs w:val="20"/>
        </w:rPr>
        <w:t xml:space="preserve">Building the Next Generation Workforce Pipeline</w:t>
      </w:r>
    </w:p>
    <w:p>
      <w:pPr>
        <w:spacing w:after="20"/>
        <w:jc w:val="center"/>
      </w:pPr>
      <w:r>
        <w:rPr>
          <w:sz w:val="18"/>
          <w:szCs w:val="18"/>
        </w:rPr>
        <w:t xml:space="preserve">9–10: Exceptional (Finalist level)   |   7–8: Strong (Highly competitive)   |   4–6: Adequate (Competent but unoriginal)   |   1–3: Weak (Significant gaps or flaws)</w:t>
      </w:r>
    </w:p>
    <w:p>
      <w:pPr>
        <w:spacing w:after="100"/>
        <w:jc w:val="center"/>
      </w:pPr>
      <w:r>
        <w:rPr>
          <w:i/>
          <w:iCs/>
          <w:sz w:val="17"/>
          <w:szCs w:val="17"/>
        </w:rPr>
        <w:t xml:space="preserve">A score of 5 should reflect average across teams. Total: 70 points across 7 categories.</w:t>
      </w:r>
    </w:p>
    <w:tbl>
      <w:tblPr>
        <w:tblW w:type="dxa" w:w="14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2120"/>
        <w:gridCol w:w="2120"/>
        <w:gridCol w:w="2120"/>
        <w:gridCol w:w="2120"/>
        <w:gridCol w:w="2120"/>
        <w:gridCol w:w="2120"/>
      </w:tblGrid>
      <w:tr>
        <w:trPr>
          <w:tblHeader/>
          <w:trHeight w:val="880" w:hRule="atLeast"/>
        </w:trPr>
        <w:tc>
          <w:tcPr>
            <w:tcW w:type="dxa" w:w="2120"/>
            <w:shd w:fill="1F3864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Executive Summary</w:t>
            </w:r>
          </w:p>
          <w:p>
            <w:pPr>
              <w:jc w:val="center"/>
            </w:pPr>
            <w:r>
              <w:rPr>
                <w:i/>
                <w:iCs/>
                <w:color w:val="FFFFFF"/>
                <w:sz w:val="19"/>
                <w:szCs w:val="19"/>
              </w:rPr>
              <w:t xml:space="preserve">(10 pts)</w:t>
            </w:r>
          </w:p>
        </w:tc>
        <w:tc>
          <w:tcPr>
            <w:tcW w:type="dxa" w:w="2120"/>
            <w:shd w:fill="1F3864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Marketing Strategy</w:t>
            </w:r>
          </w:p>
          <w:p>
            <w:pPr>
              <w:jc w:val="center"/>
            </w:pPr>
            <w:r>
              <w:rPr>
                <w:i/>
                <w:iCs/>
                <w:color w:val="FFFFFF"/>
                <w:sz w:val="19"/>
                <w:szCs w:val="19"/>
              </w:rPr>
              <w:t xml:space="preserve">(10 pts)</w:t>
            </w:r>
          </w:p>
        </w:tc>
        <w:tc>
          <w:tcPr>
            <w:tcW w:type="dxa" w:w="2120"/>
            <w:shd w:fill="1F3864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Employer Partnership Strategy</w:t>
            </w:r>
          </w:p>
          <w:p>
            <w:pPr>
              <w:jc w:val="center"/>
            </w:pPr>
            <w:r>
              <w:rPr>
                <w:i/>
                <w:iCs/>
                <w:color w:val="FFFFFF"/>
                <w:sz w:val="19"/>
                <w:szCs w:val="19"/>
              </w:rPr>
              <w:t xml:space="preserve">(10 pts)</w:t>
            </w:r>
          </w:p>
        </w:tc>
        <w:tc>
          <w:tcPr>
            <w:tcW w:type="dxa" w:w="2120"/>
            <w:shd w:fill="1F3864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Operations Strategy &amp; Execution</w:t>
            </w:r>
          </w:p>
          <w:p>
            <w:pPr>
              <w:jc w:val="center"/>
            </w:pPr>
            <w:r>
              <w:rPr>
                <w:i/>
                <w:iCs/>
                <w:color w:val="FFFFFF"/>
                <w:sz w:val="19"/>
                <w:szCs w:val="19"/>
              </w:rPr>
              <w:t xml:space="preserve">(10 pts)</w:t>
            </w:r>
          </w:p>
        </w:tc>
        <w:tc>
          <w:tcPr>
            <w:tcW w:type="dxa" w:w="2120"/>
            <w:shd w:fill="1F3864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Analytics &amp; Measurement</w:t>
            </w:r>
          </w:p>
          <w:p>
            <w:pPr>
              <w:jc w:val="center"/>
            </w:pPr>
            <w:r>
              <w:rPr>
                <w:i/>
                <w:iCs/>
                <w:color w:val="FFFFFF"/>
                <w:sz w:val="19"/>
                <w:szCs w:val="19"/>
              </w:rPr>
              <w:t xml:space="preserve">(10 pts)</w:t>
            </w:r>
          </w:p>
        </w:tc>
        <w:tc>
          <w:tcPr>
            <w:tcW w:type="dxa" w:w="2120"/>
            <w:shd w:fill="1F3864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Financial Management</w:t>
            </w:r>
          </w:p>
          <w:p>
            <w:pPr>
              <w:jc w:val="center"/>
            </w:pPr>
            <w:r>
              <w:rPr>
                <w:i/>
                <w:iCs/>
                <w:color w:val="FFFFFF"/>
                <w:sz w:val="19"/>
                <w:szCs w:val="19"/>
              </w:rPr>
              <w:t xml:space="preserve">(10 pts)</w:t>
            </w:r>
          </w:p>
        </w:tc>
        <w:tc>
          <w:tcPr>
            <w:tcW w:type="dxa" w:w="2120"/>
            <w:shd w:fill="1F3864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Presentation</w:t>
            </w:r>
          </w:p>
          <w:p>
            <w:pPr>
              <w:jc w:val="center"/>
            </w:pPr>
            <w:r>
              <w:rPr>
                <w:i/>
                <w:iCs/>
                <w:color w:val="FFFFFF"/>
                <w:sz w:val="19"/>
                <w:szCs w:val="19"/>
              </w:rPr>
              <w:t xml:space="preserve">(10 pts)</w:t>
            </w:r>
          </w:p>
        </w:tc>
      </w:tr>
      <w:tr>
        <w:trPr>
          <w:trHeight w:val="1550" w:hRule="atLeast"/>
        </w:trPr>
        <w:tc>
          <w:tcPr>
            <w:tcW w:type="dxa" w:w="2120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9–10: </w:t>
            </w:r>
            <w:r>
              <w:rPr>
                <w:sz w:val="18"/>
                <w:szCs w:val="18"/>
              </w:rPr>
              <w:t xml:space="preserve">Clear, compelling synthesis that ties the challenge and recommendation to all five functional areas into one cohesive story with sharp logic.</w:t>
            </w:r>
          </w:p>
        </w:tc>
        <w:tc>
          <w:tcPr>
            <w:tcW w:type="dxa" w:w="2120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9–10: </w:t>
            </w:r>
            <w:r>
              <w:rPr>
                <w:sz w:val="18"/>
                <w:szCs w:val="18"/>
              </w:rPr>
              <w:t xml:space="preserve">Data-driven, insightful teen engagement strategy with a clearly segmented audience, compelling positioning/messaging, and prioritized channels that strengthen the Club brand.</w:t>
            </w:r>
          </w:p>
        </w:tc>
        <w:tc>
          <w:tcPr>
            <w:tcW w:type="dxa" w:w="2120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9–10: </w:t>
            </w:r>
            <w:r>
              <w:rPr>
                <w:sz w:val="18"/>
                <w:szCs w:val="18"/>
              </w:rPr>
              <w:t xml:space="preserve">Innovative employer value proposition with a credible plan to recruit/expand partners and a concrete path to covering expansion costs through partnerships within three years.</w:t>
            </w:r>
          </w:p>
        </w:tc>
        <w:tc>
          <w:tcPr>
            <w:tcW w:type="dxa" w:w="2120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9–10: </w:t>
            </w:r>
            <w:r>
              <w:rPr>
                <w:sz w:val="18"/>
                <w:szCs w:val="18"/>
              </w:rPr>
              <w:t xml:space="preserve">Realistic, scalable operating model across multiple Club locations, aligned with staffing, scheduling, and resource constraints.</w:t>
            </w:r>
          </w:p>
        </w:tc>
        <w:tc>
          <w:tcPr>
            <w:tcW w:type="dxa" w:w="2120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9–10: </w:t>
            </w:r>
            <w:r>
              <w:rPr>
                <w:sz w:val="18"/>
                <w:szCs w:val="18"/>
              </w:rPr>
              <w:t xml:space="preserve">Clear, data-driven metrics plan with well-defined KPIs for engagement, retention, and employer satisfaction, tied directly to decisions and donor reporting.</w:t>
            </w:r>
          </w:p>
        </w:tc>
        <w:tc>
          <w:tcPr>
            <w:tcW w:type="dxa" w:w="2120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9–10: </w:t>
            </w:r>
            <w:r>
              <w:rPr>
                <w:sz w:val="18"/>
                <w:szCs w:val="18"/>
              </w:rPr>
              <w:t xml:space="preserve">Innovative, data-driven financial plan that clearly demonstrates sustainability, cost tracking, sponsorship offsets, and funding viability.</w:t>
            </w:r>
          </w:p>
        </w:tc>
        <w:tc>
          <w:tcPr>
            <w:tcW w:type="dxa" w:w="2120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9–10: </w:t>
            </w:r>
            <w:r>
              <w:rPr>
                <w:sz w:val="18"/>
                <w:szCs w:val="18"/>
              </w:rPr>
              <w:t xml:space="preserve">Polished, persuasive, well-paced delivery with strong Q&amp;A and team cohesion.</w:t>
            </w:r>
          </w:p>
        </w:tc>
      </w:tr>
      <w:tr>
        <w:trPr>
          <w:trHeight w:val="1550" w:hRule="atLeast"/>
        </w:trPr>
        <w:tc>
          <w:tcPr>
            <w:tcW w:type="dxa" w:w="2120"/>
            <w:shd w:fill="DCE6F1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7–8: </w:t>
            </w:r>
            <w:r>
              <w:rPr>
                <w:sz w:val="18"/>
                <w:szCs w:val="18"/>
              </w:rPr>
              <w:t xml:space="preserve">Solid overview and clear recommendation, but connections between functional areas could be tighter.</w:t>
            </w:r>
          </w:p>
        </w:tc>
        <w:tc>
          <w:tcPr>
            <w:tcW w:type="dxa" w:w="2120"/>
            <w:shd w:fill="DCE6F1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7–8: </w:t>
            </w:r>
            <w:r>
              <w:rPr>
                <w:sz w:val="18"/>
                <w:szCs w:val="18"/>
              </w:rPr>
              <w:t xml:space="preserve">Solid strategy with relevant teen/parent insights and logical alignment of messaging to channels.</w:t>
            </w:r>
          </w:p>
        </w:tc>
        <w:tc>
          <w:tcPr>
            <w:tcW w:type="dxa" w:w="2120"/>
            <w:shd w:fill="DCE6F1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7–8: </w:t>
            </w:r>
            <w:r>
              <w:rPr>
                <w:sz w:val="18"/>
                <w:szCs w:val="18"/>
              </w:rPr>
              <w:t xml:space="preserve">Clear value proposition and partnership plan with reasonable rationale for recruitment/expansion and funding sources.</w:t>
            </w:r>
          </w:p>
        </w:tc>
        <w:tc>
          <w:tcPr>
            <w:tcW w:type="dxa" w:w="2120"/>
            <w:shd w:fill="DCE6F1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7–8: </w:t>
            </w:r>
            <w:r>
              <w:rPr>
                <w:sz w:val="18"/>
                <w:szCs w:val="18"/>
              </w:rPr>
              <w:t xml:space="preserve">Feasible operating model with reasonable alignment to staffing and multi-location rollout.</w:t>
            </w:r>
          </w:p>
        </w:tc>
        <w:tc>
          <w:tcPr>
            <w:tcW w:type="dxa" w:w="2120"/>
            <w:shd w:fill="DCE6F1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7–8: </w:t>
            </w:r>
            <w:r>
              <w:rPr>
                <w:sz w:val="18"/>
                <w:szCs w:val="18"/>
              </w:rPr>
              <w:t xml:space="preserve">Structured metrics plan with some KPIs and reasonable linkage to reporting.</w:t>
            </w:r>
          </w:p>
        </w:tc>
        <w:tc>
          <w:tcPr>
            <w:tcW w:type="dxa" w:w="2120"/>
            <w:shd w:fill="DCE6F1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7–8: </w:t>
            </w:r>
            <w:r>
              <w:rPr>
                <w:sz w:val="18"/>
                <w:szCs w:val="18"/>
              </w:rPr>
              <w:t xml:space="preserve">Clear financial plan with some evidence of sustainability and a reasonable cost/pricing structure.</w:t>
            </w:r>
          </w:p>
        </w:tc>
        <w:tc>
          <w:tcPr>
            <w:tcW w:type="dxa" w:w="2120"/>
            <w:shd w:fill="DCE6F1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7–8: </w:t>
            </w:r>
            <w:r>
              <w:rPr>
                <w:sz w:val="18"/>
                <w:szCs w:val="18"/>
              </w:rPr>
              <w:t xml:space="preserve">Clear and organized with minor delivery gaps.</w:t>
            </w:r>
          </w:p>
        </w:tc>
      </w:tr>
      <w:tr>
        <w:trPr>
          <w:trHeight w:val="1550" w:hRule="atLeast"/>
        </w:trPr>
        <w:tc>
          <w:tcPr>
            <w:tcW w:type="dxa" w:w="2120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4–6: </w:t>
            </w:r>
            <w:r>
              <w:rPr>
                <w:sz w:val="18"/>
                <w:szCs w:val="18"/>
              </w:rPr>
              <w:t xml:space="preserve">Understandable summary but lacks cohesion or a strong through-line connecting the recommendation to the functional areas.</w:t>
            </w:r>
          </w:p>
        </w:tc>
        <w:tc>
          <w:tcPr>
            <w:tcW w:type="dxa" w:w="2120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4–6: </w:t>
            </w:r>
            <w:r>
              <w:rPr>
                <w:sz w:val="18"/>
                <w:szCs w:val="18"/>
              </w:rPr>
              <w:t xml:space="preserve">Basic description of teen audience and messaging with limited depth or linkage to strategy.</w:t>
            </w:r>
          </w:p>
        </w:tc>
        <w:tc>
          <w:tcPr>
            <w:tcW w:type="dxa" w:w="2120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4–6: </w:t>
            </w:r>
            <w:r>
              <w:rPr>
                <w:sz w:val="18"/>
                <w:szCs w:val="18"/>
              </w:rPr>
              <w:t xml:space="preserve">Basic partnership ideas with minimal strategic insight into value proposition, sponsorship structure, or the three-year cost-coverage goal.</w:t>
            </w:r>
          </w:p>
        </w:tc>
        <w:tc>
          <w:tcPr>
            <w:tcW w:type="dxa" w:w="2120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4–6: </w:t>
            </w:r>
            <w:r>
              <w:rPr>
                <w:sz w:val="18"/>
                <w:szCs w:val="18"/>
              </w:rPr>
              <w:t xml:space="preserve">Mentions operational needs but lacks depth or feasibility analysis for scaling across locations.</w:t>
            </w:r>
          </w:p>
        </w:tc>
        <w:tc>
          <w:tcPr>
            <w:tcW w:type="dxa" w:w="2120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4–6: </w:t>
            </w:r>
            <w:r>
              <w:rPr>
                <w:sz w:val="18"/>
                <w:szCs w:val="18"/>
              </w:rPr>
              <w:t xml:space="preserve">High-level metrics mentioned with limited specificity or connection to reporting/decisions.</w:t>
            </w:r>
          </w:p>
        </w:tc>
        <w:tc>
          <w:tcPr>
            <w:tcW w:type="dxa" w:w="2120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4–6: </w:t>
            </w:r>
            <w:r>
              <w:rPr>
                <w:sz w:val="18"/>
                <w:szCs w:val="18"/>
              </w:rPr>
              <w:t xml:space="preserve">Plausible financial plan but lacks validation or differentiation on cost/funding.</w:t>
            </w:r>
          </w:p>
        </w:tc>
        <w:tc>
          <w:tcPr>
            <w:tcW w:type="dxa" w:w="2120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4–6: </w:t>
            </w:r>
            <w:r>
              <w:rPr>
                <w:sz w:val="18"/>
                <w:szCs w:val="18"/>
              </w:rPr>
              <w:t xml:space="preserve">Uneven delivery or limited Q&amp;A depth.</w:t>
            </w:r>
          </w:p>
        </w:tc>
      </w:tr>
      <w:tr>
        <w:trPr>
          <w:trHeight w:val="1550" w:hRule="atLeast"/>
        </w:trPr>
        <w:tc>
          <w:tcPr>
            <w:tcW w:type="dxa" w:w="2120"/>
            <w:shd w:fill="DCE6F1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1–3: </w:t>
            </w:r>
            <w:r>
              <w:rPr>
                <w:sz w:val="18"/>
                <w:szCs w:val="18"/>
              </w:rPr>
              <w:t xml:space="preserve">Unclear, incomplete, or missing a clear recommendation.</w:t>
            </w:r>
          </w:p>
        </w:tc>
        <w:tc>
          <w:tcPr>
            <w:tcW w:type="dxa" w:w="2120"/>
            <w:shd w:fill="DCE6F1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1–3: </w:t>
            </w:r>
            <w:r>
              <w:rPr>
                <w:sz w:val="18"/>
                <w:szCs w:val="18"/>
              </w:rPr>
              <w:t xml:space="preserve">Superficial, inaccurate, or unsupported teen engagement analysis.</w:t>
            </w:r>
          </w:p>
        </w:tc>
        <w:tc>
          <w:tcPr>
            <w:tcW w:type="dxa" w:w="2120"/>
            <w:shd w:fill="DCE6F1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1–3: </w:t>
            </w:r>
            <w:r>
              <w:rPr>
                <w:sz w:val="18"/>
                <w:szCs w:val="18"/>
              </w:rPr>
              <w:t xml:space="preserve">Incomplete or unclear employer partnership/sales strategy.</w:t>
            </w:r>
          </w:p>
        </w:tc>
        <w:tc>
          <w:tcPr>
            <w:tcW w:type="dxa" w:w="2120"/>
            <w:shd w:fill="DCE6F1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1–3: </w:t>
            </w:r>
            <w:r>
              <w:rPr>
                <w:sz w:val="18"/>
                <w:szCs w:val="18"/>
              </w:rPr>
              <w:t xml:space="preserve">Unrealistic or disconnected from organizational/operational resources.</w:t>
            </w:r>
          </w:p>
        </w:tc>
        <w:tc>
          <w:tcPr>
            <w:tcW w:type="dxa" w:w="2120"/>
            <w:shd w:fill="DCE6F1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1–3: </w:t>
            </w:r>
            <w:r>
              <w:rPr>
                <w:sz w:val="18"/>
                <w:szCs w:val="18"/>
              </w:rPr>
              <w:t xml:space="preserve">Vague, impractical, or missing metrics/reporting details.</w:t>
            </w:r>
          </w:p>
        </w:tc>
        <w:tc>
          <w:tcPr>
            <w:tcW w:type="dxa" w:w="2120"/>
            <w:shd w:fill="DCE6F1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1–3: </w:t>
            </w:r>
            <w:r>
              <w:rPr>
                <w:sz w:val="18"/>
                <w:szCs w:val="18"/>
              </w:rPr>
              <w:t xml:space="preserve">Financial plan is unclear, unrealistic, or not linked to analysis or sustainability.</w:t>
            </w:r>
          </w:p>
        </w:tc>
        <w:tc>
          <w:tcPr>
            <w:tcW w:type="dxa" w:w="2120"/>
            <w:shd w:fill="DCE6F1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40" w:line="264"/>
            </w:pPr>
            <w:r>
              <w:rPr>
                <w:b/>
                <w:bCs/>
                <w:sz w:val="18"/>
                <w:szCs w:val="18"/>
              </w:rPr>
              <w:t xml:space="preserve">1–3: </w:t>
            </w:r>
            <w:r>
              <w:rPr>
                <w:sz w:val="18"/>
                <w:szCs w:val="18"/>
              </w:rPr>
              <w:t xml:space="preserve">Disorganized, unclear, or unable to defend analysis.</w:t>
            </w:r>
          </w:p>
        </w:tc>
      </w:tr>
    </w:tbl>
    <w:p>
      <w:pPr>
        <w:spacing w:before="20"/>
      </w:pPr>
      <w:r>
        <w:rPr>
          <w:i/>
          <w:iCs/>
          <w:sz w:val="15"/>
          <w:szCs w:val="15"/>
        </w:rPr>
        <w:t xml:space="preserve">All five functional areas must be addressed — teams may go deeper on some, but none can be skipped. Well-disclosed assumptions are expected.</w:t>
      </w:r>
    </w:p>
    <w:sectPr>
      <w:pgSz w:w="15840" w:h="12240" w:orient="landscape"/>
      <w:pgMar w:top="350" w:right="400" w:bottom="25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2026-09-16T19:10:55.392Z</dcterms:created>
  <dcterms:modified xsi:type="dcterms:W3CDTF">2026-09-16T19:10:55.392Z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